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(b2)</w:t>
      </w:r>
    </w:p>
    <w:p>
      <w:r>
        <w:t xml:space="preserve">Prompt: </w:t>
      </w:r>
    </w:p>
    <w:p>
      <w:r>
        <w:t>--------------------</w:t>
      </w:r>
    </w:p>
    <w:p>
      <w:r>
        <w:t>The debate about whether a person's personality and behavior are shaped more by genetics or by their life experiences is a long discussion. In my opinion, I strongly agree with supporting the first option. This essay will provide two reasons supporting my idea.</w:t>
        <w:br/>
        <w:br/>
        <w:t>Nature provides a basic base for human traits and abilities. In other words, a person is born with certain natural tendencies and skills. For instance, that some babies show a natural talent for music or drawing. As a result, This result shows that these natural gifts give them an early advantage in certain areas. Hence, it becomes evident that This clearly shows that nature sets the initial path for development.</w:t>
        <w:br/>
        <w:br/>
        <w:t>The environment and upbringing also play a very important role in shaping who we become. This is primarily due to the fact that This is mainly because our surroundings teach us how to act and feel. This can be exemplified by the fact that that children raised in good families tend to be more confident. The outcome is that positive interactions help build strong emotional skills. This clearly aligns with the view that This clearly shows that the environment guides our growth.</w:t>
        <w:br/>
        <w:br/>
        <w:t>In conclusion, I strongly agree that nature has the greater influence on personality and behavior. The initial traits provided by nature set the stage, and the environment helps develop these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