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#368 (b2)</w:t>
      </w:r>
    </w:p>
    <w:p>
      <w:r>
        <w:t xml:space="preserve">Prompt: </w:t>
      </w:r>
    </w:p>
    <w:p>
      <w:r>
        <w:t>--------------------</w:t>
      </w:r>
    </w:p>
    <w:p>
      <w:r>
        <w:t>The debate about whether human personality and behavior are shaped more by genetics or by life experiences is very old. In my opinion, I strongly disagree with supporting the second option. This essay will provide two reasons supporting my idea.</w:t>
        <w:br/>
        <w:br/>
        <w:t>Nature provides a strong foundation for our character. In other words, some traits are built into us from birth. For instance, a baby might show a natural talent for music or a certain temperament. As a result, these innate abilities give us a starting point for development. Hence, it becomes evident that our natural makeup plays a major role in who we become.</w:t>
        <w:br/>
        <w:br/>
        <w:t>The environment also plays a very important role in shaping us. This is primarily due to the fact that people learn through interaction with others. This can be exemplified by the fact that a child who grows up in a supportive family learns good habits. The outcome is that these early experiences help shape our skills and personality. This clearly aligns with the view that our surroundings are key to development.</w:t>
        <w:br/>
        <w:br/>
        <w:t>In conclusion, I strongly disagree with the idea that one factor is more important. Both innate traits and life experiences are needed to develop a person, as shown by the role of natural makeup and the influence of surroundings.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