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#368 (c1)</w:t>
      </w:r>
    </w:p>
    <w:p>
      <w:r>
        <w:t xml:space="preserve">Prompt: </w:t>
      </w:r>
    </w:p>
    <w:p>
      <w:r>
        <w:t>--------------------</w:t>
      </w:r>
    </w:p>
    <w:p>
      <w:r>
        <w:t>The relationship between innate characteristics and environmental influences on human personality remains a subject of considerable academic debate. In my opinion, I strongly agree with agree. This essay will provide two reasons supporting my idea.</w:t>
        <w:br/>
        <w:br/>
        <w:t>The argument for nature suggests that many aspects of human behavior are determined by genetic predisposition. In other words, certain temperaments and aptitudes are inherited from parents. For instance, a child might display a natural inclination toward musical rhythm, regardless of formal training. As a result, these inherent traits can significantly shape early developmental paths. Hence, it becomes evident that genetic factors provide a foundational framework for personality development.</w:t>
        <w:br/>
        <w:br/>
        <w:t>Conversely, the influence of nurture highlights the crucial role of experience and learning in shaping character. This is primarily due to the fact that human beings are highly adaptable and capable of acquiring new skills. This can be exemplified by the fact that someone raised in a supportive community can develop strong social skills. The outcome is that consistent practice and positive socialization can modify innate tendencies. This clearly aligns with the view that environmental factors are paramount in determining adult behavior.</w:t>
        <w:br/>
        <w:br/>
        <w:t>In conclusion, I strongly agree with agree. This is clear from argument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