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#368 (c1)</w:t>
      </w:r>
    </w:p>
    <w:p>
      <w:r>
        <w:t xml:space="preserve">Prompt: </w:t>
      </w:r>
    </w:p>
    <w:p>
      <w:r>
        <w:t>--------------------</w:t>
      </w:r>
    </w:p>
    <w:p>
      <w:r>
        <w:t>The relationship between innate characteristics and environmental influences on human behavior has long been a subject of academic debate. In my opinion, I strongly disagree with supporting the second option. This essay will provide two reasons supporting my idea.</w:t>
        <w:br/>
        <w:br/>
        <w:t>The evidence suggests that innate traits provide a foundational framework for human development. In other words, genetic predispositions establish initial parameters for temperament and potential. For instance, a child may exhibit a natural inclination toward musical rhythm, regardless of formal training. As a result, early exposure to certain stimuli can amplify these inherent aptitudes. Hence, it becomes evident that nature provides a crucial starting point for all subsequent learning.</w:t>
        <w:br/>
        <w:br/>
        <w:t>Furthermore, the environment plays a role in shaping personality far beyond mere practice. This is primarily due to the fact that social interactions model complex behavioral patterns. This can be exemplified by the fact that growing up in a collaborative community fosters teamwork skills. The outcome is that individuals develop sophisticated coping mechanisms through lived experience. This clearly aligns with the view that environmental factors are highly influential in shaping character.</w:t>
        <w:br/>
        <w:br/>
        <w:t>In conclusion, I strongly disagree with supporting the second option. Both innate traits providing a foundational framework and environmental factors shaping personality are crucial components of human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