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#369 (c1)</w:t>
      </w:r>
    </w:p>
    <w:p>
      <w:r>
        <w:t xml:space="preserve">Prompt: </w:t>
      </w:r>
    </w:p>
    <w:p>
      <w:r>
        <w:t>--------------------</w:t>
      </w:r>
    </w:p>
    <w:p>
      <w:r>
        <w:t>Overcrowding presents a significant challenge to urban living, impacting infrastructure and quality of life. In my opinion, I strongly agree with identifying problems and proposing solutions. This essay will provide two reasons supporting my idea.</w:t>
        <w:br/>
        <w:br/>
        <w:t>The major reason is the unsustainable rate of population growth in metropolitan areas. In other words, the sheer number of people concentrating in limited spaces strains existing resources. For instance, public transportation systems become severely congested during peak hours, making daily commutes difficult. As a result, residents experience increased stress levels and reduced mobility. Hence, it becomes evident that identifying the root causes of this density is crucial for planning.</w:t>
        <w:br/>
        <w:br/>
        <w:t>One effective solution is implementing comprehensive urban planning strategies. This is primarily due to the fact that careful zoning and development can distribute population pressure more evenly. This can be exemplified by the fact that developing satellite cities with robust amenities reduces the strain on central hubs. The outcome is that commuters have viable alternatives, lessening the burden on core infrastructure. This clearly aligns with the view that proposing actionable solutions is necessary for sustainable growth.</w:t>
        <w:br/>
        <w:br/>
        <w:t>In conclusion, I strongly agree that addressing overcrowding requires both identifying the major reason of population density and proposing effective solutions like comprehensive urban planning. Addressing these two aspects is vital for improving urban sustainability.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