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#384 (b2)</w:t>
      </w:r>
    </w:p>
    <w:p>
      <w:r>
        <w:t xml:space="preserve">Prompt: </w:t>
      </w:r>
    </w:p>
    <w:p>
      <w:r>
        <w:t>--------------------</w:t>
      </w:r>
    </w:p>
    <w:p>
      <w:r>
        <w:t>Art and culture are important parts of a good life, and many people wonder who should pay for them. In my opinion, I strongly agree with agree. This essay will provide two reasons supporting my idea.</w:t>
        <w:br/>
        <w:br/>
        <w:t>Government funding is best for supporting art and culture. In other words, This is because art and culture are considered basic needs for a healthy society. For instance, local museums often need government money to keep their doors open and display historical items. As a result, the public can still access important cultural activities even if they do not have much money. Hence, it becomes evident that government support is vital for cultural preservation.</w:t>
        <w:br/>
        <w:br/>
        <w:t>Private investment also helps art and culture grow. This is primarily due to the fact that private sponsors bring new ideas and resources to the arts. This can be exemplified by the fact that large companies might fund a new art show to improve their image. The outcome is that the community gets access to exciting, modern art that might not get attention otherwise. This clearly aligns with the view that private money helps the arts develop.</w:t>
        <w:br/>
        <w:br/>
        <w:t>In conclusion, I strongly agree that government and private investment should both support art and culture. Government support is vital for cultural preservation, while private money helps the arts develop.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