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#384 (b2)</w:t>
      </w:r>
    </w:p>
    <w:p>
      <w:r>
        <w:t xml:space="preserve">Prompt: </w:t>
      </w:r>
    </w:p>
    <w:p>
      <w:r>
        <w:t>--------------------</w:t>
      </w:r>
    </w:p>
    <w:p>
      <w:r>
        <w:t>Art and culture are important parts of a good life, and many people debate who should pay for them. In my opinion, I strongly disagree with disagree. This essay will provide two reasons supporting my idea.</w:t>
        <w:br/>
        <w:br/>
        <w:t>Government funding is best for supporting local culture. In other words, This is because public funding ensures that art is available to everyone, regardless of their money. For instance, a city museum might offer free entry to all residents. As a result, people from all income levels can still enjoy cultural activities. Hence, it becomes evident that government support helps keep art accessible to the whole community.</w:t>
        <w:br/>
        <w:br/>
        <w:t>Private investment is better for keeping art relevant and modern. This is primarily due to the fact that private sponsors often focus on new and popular art forms. This can be exemplified by the fact that private galleries might host shows of emerging artists. The outcome is that these artists get a chance to show their work and grow their careers. This clearly aligns with the view that private money keeps the arts fresh and exciting.</w:t>
        <w:br/>
        <w:br/>
        <w:t>In conclusion, I strongly disagree with the idea that one source should be responsible. Both government support for local culture and private investment for keeping art relevant are needed for a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