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#384 (c1)</w:t>
      </w:r>
    </w:p>
    <w:p>
      <w:r>
        <w:t xml:space="preserve">Prompt: </w:t>
      </w:r>
    </w:p>
    <w:p>
      <w:r>
        <w:t>--------------------</w:t>
      </w:r>
    </w:p>
    <w:p>
      <w:r>
        <w:t>The funding of art and culture is a subject of debate, concerning whether public or private entities should bear the primary financial responsibility. In my opinion, I strongly agree with agree. This essay will provide two reasons supporting my idea.</w:t>
        <w:br/>
        <w:br/>
        <w:t>Government funding is crucial for maintaining cultural institutions and promoting artistic merit. In other words, state support ensures that cultural activities are accessible to all socioeconomic groups. For instance, public museums often receive subsidies that allow them to display historical artifacts regardless of commercial appeal. As a result, the preservation of local heritage is guaranteed, making these resources available for public enjoyment. Hence, it becomes evident that government involvement is essential for broad cultural preservation.</w:t>
        <w:br/>
        <w:br/>
        <w:t>Private investment also plays a vital role in sustaining the creative economy and fostering community arts. This is primarily due to the fact that private sponsors introduce market dynamism and innovative funding streams. This can be exemplified by the fact that corporate philanthropy often supports niche art shows that might otherwise lack financial backing. The outcome is that the arts sector receives diversified capital, leading to greater artistic freedom. This clearly aligns with the view that private sector investment complements state efforts.</w:t>
        <w:br/>
        <w:br/>
        <w:t>In conclusion, I strongly agree that both government and private investment are necessary. Government support is vital for cultural preservation, while private sector investment enhances the creative economy, ensuring a rich cultural landscape for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