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#384 (c1)</w:t>
      </w:r>
    </w:p>
    <w:p>
      <w:r>
        <w:t xml:space="preserve">Prompt: </w:t>
      </w:r>
    </w:p>
    <w:p>
      <w:r>
        <w:t>--------------------</w:t>
      </w:r>
    </w:p>
    <w:p>
      <w:r>
        <w:t>The funding of art and culture is a subject of considerable debate, concerning whether public or private entities should bear the primary financial responsibility. In my opinion, I strongly disagree with disagree. This essay will provide two reasons supporting my idea.</w:t>
        <w:br/>
        <w:br/>
        <w:t>Government funding is essential for maintaining the foundational elements of local culture. In other words, state support ensures that artistic expression remains accessible to all socioeconomic groups. For instance, public museums often host exhibitions that would be financially prohibitive for private galleries. As a result, these institutions preserve historical narratives and promote broad cultural literacy. Hence, it becomes evident that government oversight is crucial for universal cultural preservation.</w:t>
        <w:br/>
        <w:br/>
        <w:t>Private investment, while valuable, cannot sustain the breadth of cultural needs. This is primarily due to the fact that private sponsors prioritize profitable ventures over niche artistic merit. This can be exemplified by the fact that small, experimental art shows often lack the necessary market appeal for corporate funding. The outcome is that only commercially viable art forms receive adequate attention and resources. This clearly aligns with the view that private funding is inherently limited in scope.</w:t>
        <w:br/>
        <w:br/>
        <w:t>In conclusion, I strongly disagree with the notion that private investment alone should fund art and culture. Government support is vital for universal cultural preservation, while private funding is inherently limited in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