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(b2)</w:t>
      </w:r>
    </w:p>
    <w:p>
      <w:r>
        <w:t xml:space="preserve">Prompt: </w:t>
      </w:r>
    </w:p>
    <w:p>
      <w:r>
        <w:t>--------------------</w:t>
      </w:r>
    </w:p>
    <w:p>
      <w:r>
        <w:t>The question of which industry—computer, aerospace, or manufacturing—will have the most promising future is a complex one. In my opinion, I strongly agree with agree. This essay will provide two reasons supporting my idea.</w:t>
        <w:br/>
        <w:br/>
        <w:t>The computer industry shows great potential for future growth. In other words, One clear advantage is its rapid development in digital technology. For instance, This means that this sector changes very quickly, creating new tools for people to use. As a result, A practical example is the rise of mobile phones, which shows how fast this technology moves. Hence, it becomes evident that This result supports the view that many people can access information and services from anywhere.</w:t>
        <w:br/>
        <w:br/>
        <w:t>The manufacturing sector also holds a strong position for a good future. This is primarily due to the fact that This is mainly because it provides physical goods that people need every day. This can be exemplified by the fact that A practical example is the making of cars and household items, which must be produced. The outcome is that this industry can use automation to make things faster and cheaper. This clearly aligns with the view that This clearly supports the view that manufacturing is a key part of the economy.</w:t>
        <w:br/>
        <w:br/>
        <w:t>In conclusion, I strongly agree that both the computer industry and the manufacturing sector will have a promising future. The rapid development of digital technology and the need for physical goods from manufacturing both support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