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#385 (c1)</w:t>
      </w:r>
    </w:p>
    <w:p>
      <w:r>
        <w:t xml:space="preserve">Prompt: </w:t>
      </w:r>
    </w:p>
    <w:p>
      <w:r>
        <w:t>--------------------</w:t>
      </w:r>
    </w:p>
    <w:p>
      <w:r>
        <w:t>Determining which sector—computer, aerospace, or manufacturing—possesses the most promising future is a complex issue. In my opinion, I strongly disagree with disagree. This essay will provide two reasons supporting my idea.</w:t>
        <w:br/>
        <w:br/>
        <w:t>The computer industry presents a remarkably promising trajectory for future development. In other words, the continuous advancement of digital technology drives unprecedented global connectivity. For instance, the proliferation of artificial intelligence systems is transforming nearly every professional field. As a result, the demand for specialized digital skills and computational power continues to escalate rapidly. Hence, it becomes evident that the computer sector is poised for substantial and sustained growth.</w:t>
        <w:br/>
        <w:br/>
        <w:t>Aerospace technology represents another highly viable sector for future economic expansion. This is primarily due to the fact that global efforts are increasingly focusing on sustainable and efficient air travel. This can be exemplified by the fact that the development of electric and hydrogen-powered aircraft is gaining significant traction. The outcome is that nations are investing heavily in advanced aerodynamics and infrastructure upgrades. This clearly aligns with the view that aerospace will remain a critical and expanding industry.</w:t>
        <w:br/>
        <w:br/>
        <w:t>In conclusion, I strongly disagree with the notion that manufacturing or aerospace is superior; the computer industry's digital advancements and the ongoing growth of aerospace technology both guarantee a highly promising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