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#387 (c1)</w:t>
      </w:r>
    </w:p>
    <w:p>
      <w:r>
        <w:t xml:space="preserve">Prompt: </w:t>
      </w:r>
    </w:p>
    <w:p>
      <w:r>
        <w:t>--------------------</w:t>
      </w:r>
    </w:p>
    <w:p>
      <w:r>
        <w:t>Maintaining a healthy equilibrium between personal life and social media engagement presents a significant contemporary challenge. In my opinion, I strongly agree with identifying problems and proposing solutions. This essay will provide two reasons supporting my idea.</w:t>
        <w:br/>
        <w:br/>
        <w:t>The major reason is the inherent design of social media platforms, which encourages excessive usage. In other words, these platforms are engineered to maximize user attention and time spent scrolling. For instance, the constant stream of notifications and personalized content keeps users engaged indefinitely. As a result, individuals often lose track of time, neglecting real-world responsibilities and interactions. Hence, it becomes evident that the structural nature of these sites contributes to poor digital habits.</w:t>
        <w:br/>
        <w:br/>
        <w:t>One effective solution is promoting digital literacy and self-regulation among users. This is primarily due to the fact that awareness of algorithmic manipulation empowers individuals to take control of their feed. This can be exemplified by the fact that setting specific time limits on applications significantly reduces compulsive checking. The outcome is that users develop stronger self-control and allocate their attention more judiciously. This clearly aligns with the view that proactive management is crucial for well-being.</w:t>
        <w:br/>
        <w:br/>
        <w:t>In conclusion, I strongly agree that addressing the major reason of platform design and implementing effective solutions like digital literacy are vital for maintaining balance.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