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#390 (c1)</w:t>
      </w:r>
    </w:p>
    <w:p>
      <w:r>
        <w:t xml:space="preserve">Prompt: </w:t>
      </w:r>
    </w:p>
    <w:p>
      <w:r>
        <w:t>--------------------</w:t>
      </w:r>
    </w:p>
    <w:p>
      <w:r>
        <w:t>The increasing popularity of remote work necessitates a discussion regarding its viability as a long-term replacement for conventional office settings. In my opinion, I strongly agree with agreeing with the statement. This essay will provide two reasons supporting my idea.</w:t>
        <w:br/>
        <w:br/>
        <w:t>Remote work offers substantial advantages concerning employee autonomy and work-life balance. In other words, employees gain greater control over their daily schedules and working environments. For instance, a graphic designer can manage their workflow from a quiet home office, rather than a noisy corporate space. As a result, the reduction in daily commuting time significantly improves mental well-being. Hence, it becomes evident that remote work enhances overall job satisfaction and personal freedom.</w:t>
        <w:br/>
        <w:br/>
        <w:t>Furthermore, adopting remote models boosts operational efficacy for organizations. This is primarily due to the fact that companies can access a wider talent pool, unrestricted by geographical location. This can be exemplified by the fact that a tech startup can hire specialized engineers from different continents. The outcome is that businesses can build more diverse and skilled teams, thereby improving innovation. This clearly aligns with the view that remote work is a powerful tool for organizational growth.</w:t>
        <w:br/>
        <w:br/>
        <w:t>In conclusion, I strongly agree that remote work is a viable long-term alternative. The enhanced employee autonomy and the boost in operational efficacy confirm that telecommuting represents a sustainable future for professional employment.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