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#393 (b2)</w:t>
      </w:r>
    </w:p>
    <w:p>
      <w:r>
        <w:t xml:space="preserve">Prompt: </w:t>
      </w:r>
    </w:p>
    <w:p>
      <w:r>
        <w:t>--------------------</w:t>
      </w:r>
    </w:p>
    <w:p>
      <w:r>
        <w:t>The issue of climate change is a major global concern that needs immediate attention from all people. In my opinion, I strongly agree with agreeing with the statement. This essay will provide two reasons supporting my idea.</w:t>
        <w:br/>
        <w:br/>
        <w:t>Governments must take strong action to reduce pollution levels in major cities. In other words, they need to change how people live and work every day. For instance, many cities can introduce public transport systems, such as electric buses, to reduce car use. As a result, the air quality will improve, and people will be healthier. Hence, it becomes evident that government planning is very important for a better environment.</w:t>
        <w:br/>
        <w:br/>
        <w:t>Individuals also have a big role to play in protecting the planet from climate damage. This is primarily due to the fact that small changes in daily habits can make a big difference over time. This can be exemplified by the fact that people choosing to eat less meat helps reduce the demand on animal farming. The outcome is that greenhouse gas emissions go down, which helps slow global warming. This clearly aligns with the view that personal responsibility is key to solving this problem.</w:t>
        <w:br/>
        <w:br/>
        <w:t>In conclusion, I strongly agree that both government action and individual responsibility are necessary. Strong government planning and personal responsibility are needed to address climate change effectively.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