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#393 (c1)</w:t>
      </w:r>
    </w:p>
    <w:p>
      <w:r>
        <w:t xml:space="preserve">Prompt: </w:t>
      </w:r>
    </w:p>
    <w:p>
      <w:r>
        <w:t>--------------------</w:t>
      </w:r>
    </w:p>
    <w:p>
      <w:r>
        <w:t>The increasing severity of climate change necessitates immediate and comprehensive global action. In my opinion, I strongly agree with agreeing with the statement. This essay will provide two reasons supporting my idea.</w:t>
        <w:br/>
        <w:br/>
        <w:t>Governments must prioritize transitioning away from fossil fuels to mitigate global warming. In other words, reliance on coal, oil, and gas contributes significantly to atmospheric carbon levels. For instance, nations adopting renewable energy sources, such as solar and wind power, demonstrate a viable alternative. As a result, the emission of greenhouse gases decreases substantially, protecting vulnerable ecosystems. Hence, it becomes evident that policy shifts are crucial for environmental stability.</w:t>
        <w:br/>
        <w:br/>
        <w:t>Furthermore, individual behavioral changes play a vital role in reducing the overall carbon footprint of society. This is primarily due to the fact that consumer choices directly influence industrial demand and resource consumption. This can be exemplified by the fact that choosing public transportation over private vehicles reduces localized pollution. The outcome is that communities experience improved air quality and reduced traffic congestion. This clearly aligns with the view that collective responsibility drives sustainable progress.</w:t>
        <w:br/>
        <w:br/>
        <w:t>In conclusion, I strongly agree that addressing climate change requires both governmental policy shifts away from fossil fuels and individual behavioral changes in consumption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