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#395 (c1)</w:t>
      </w:r>
    </w:p>
    <w:p>
      <w:r>
        <w:t xml:space="preserve">Prompt: </w:t>
      </w:r>
    </w:p>
    <w:p>
      <w:r>
        <w:t>--------------------</w:t>
      </w:r>
    </w:p>
    <w:p>
      <w:r>
        <w:t>Environmental degradation represents a critical global challenge, necessitating immediate attention to its causes and potential remedies. In my opinion, I strongly agree with identifying problems and proposing solutions. This essay will provide two reasons supporting my idea.</w:t>
        <w:br/>
        <w:br/>
        <w:t>The major reason is the unsustainable consumption patterns adopted by modern industrial societies. In other words, the excessive extraction of natural resources without proper replenishment severely strains planetary ecosystems. For instance, rampant deforestation for agricultural expansion diminishes biodiversity and destabilizes local climates. As a result, many species face extinction, and the carbon cycle becomes imbalanced. Hence, it becomes evident that identifying these destructive patterns is crucial for effective mitigation.</w:t>
        <w:br/>
        <w:br/>
        <w:t>One effective solution is implementing stringent governmental regulations concerning industrial waste disposal. This is primarily due to the fact that current voluntary compliance mechanisms prove insufficient to curb pollution effectively. This can be exemplified by the fact that nations adopting strict emission standards, such as the European Union, see marked improvements in air quality. The outcome is that industries are incentivized to invest in cleaner technologies and sustainable practices. This clearly aligns with the view that proposing actionable solutions is paramount for environmental recovery.</w:t>
        <w:br/>
        <w:br/>
        <w:t>In conclusion, I strongly agree that addressing environmental degradation requires both identifying unsustainable consumption patterns and proposing actionable solutions. Focusing on the major reason of resource depletion and implementing effective solutions will be vital for planetary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