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#396 (b2)</w:t>
      </w:r>
    </w:p>
    <w:p>
      <w:r>
        <w:t xml:space="preserve">Prompt: </w:t>
      </w:r>
    </w:p>
    <w:p>
      <w:r>
        <w:t>--------------------</w:t>
      </w:r>
    </w:p>
    <w:p>
      <w:r>
        <w:t>Interpersonal communication involves how people talk and interact with each other in their daily lives. In my opinion, I strongly negative with the disadvantages outweigh the advantages. This essay will provide two reasons supporting my idea.</w:t>
        <w:br/>
        <w:br/>
        <w:t>On the one hand, face-to-face talking helps people build strong relationships. In other words, talking in person allows people to read body language and facial expressions. For instance, when friends meet, they can see if the other person is happy or sad just by looking at them. As a result, these non-verbal signs help people understand feelings better than just words alone. Hence, it becomes evident that personal meetings are good for building trust and connection.</w:t>
        <w:br/>
        <w:br/>
        <w:t>On the other hand, relying too much on digital communication has some negative effects. This is primarily due to the fact that written messages often lack tone and emotion. This can be exemplified by the fact that a joke sent via text might be misunderstood as mean. The outcome is that people might feel isolated or that their true feelings are not understood. This clearly aligns with the view that digital methods can damage deep connections.</w:t>
        <w:br/>
        <w:br/>
        <w:t>In conclusion, I strongly negative with the disadvantages outweigh the advantages. This is because face-to-face interaction facilitates deeper understanding through non-verbal cues, while excessive digital communication risks misinterpreting emotions and damaging genuine connections.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