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#402 (c1)</w:t>
      </w:r>
    </w:p>
    <w:p>
      <w:r>
        <w:t xml:space="preserve">Prompt: </w:t>
      </w:r>
    </w:p>
    <w:p>
      <w:r>
        <w:t>--------------------</w:t>
      </w:r>
    </w:p>
    <w:p>
      <w:r>
        <w:t>The debate surrounding a four-day workweek versus the traditional five-day schedule is quite prevalent in modern employment discussions. In my opinion, I strongly disagree with disagreeing with the statement. This essay will provide two reasons supporting my idea.</w:t>
        <w:br/>
        <w:br/>
        <w:t>The conventional five-day structure provides necessary consistency for maintaining operational momentum. In other words, businesses require continuous staffing to manage complex supply chains and client demands. For instance, manufacturing facilities operate on continuous cycles, needing personnel seven days a week. As a result, reducing the working days could create significant bottlenecks in essential services. Hence, it becomes evident that the stability of the five-day week is crucial for maintaining consistent output.</w:t>
        <w:br/>
        <w:br/>
        <w:t>Furthermore, the five-day week allows for sufficient time to manage professional development and networking. This is primarily due to the fact that professional growth often requires scheduled, in-person interactions. This can be exemplified by the fact that industry conferences and specialized training sessions are typically held over multiple weekdays. The outcome is that employees miss valuable opportunities for mentorship and skill enhancement. This clearly aligns with the view that the extended week supports career progression and expertise accumulation.</w:t>
        <w:br/>
        <w:br/>
        <w:t>In conclusion, I strongly disagree with the notion that a four-day workweek is superior; the established five-day structure provides the necessary consistency for operational momentum and supports professional development and networking.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