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#403 (c1)</w:t>
      </w:r>
    </w:p>
    <w:p>
      <w:r>
        <w:t xml:space="preserve">Prompt: </w:t>
      </w:r>
    </w:p>
    <w:p>
      <w:r>
        <w:t>--------------------</w:t>
      </w:r>
    </w:p>
    <w:p>
      <w:r>
        <w:t>The role of artistic subjects within the educational curriculum has been a subject of considerable debate. In my opinion, I strongly disagree with disagree. This essay will provide two reasons supporting my idea.</w:t>
        <w:br/>
        <w:br/>
        <w:t>The emphasis placed on arts education often overestimates its academic value. In other words, core academic subjects deserve greater focus for student success in everyday life in everyday life. For instance, time allocated to painting could be better spent on advanced mathematics or science. As a result, students may develop a false sense of balance in their learning profile. Hence, it becomes evident that these subjects are not the primary focus of schooling.</w:t>
        <w:br/>
        <w:br/>
        <w:t>Furthermore, arts education does not guarantee the development of essential academic skills. This is primarily due to the fact that these subjects teach subjective appreciation rather than measurable competencies in everyday life. This can be exemplified by the fact that a student's ability to draw does not correlate with their aptitude for physics. The outcome is that parents and schools may prioritize subjects that offer tangible career pathways. This clearly aligns with the view that academic rigor should guide educational planning.</w:t>
        <w:br/>
        <w:br/>
        <w:t>In conclusion, I strongly disagree with disagree. This is clear from emphasis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