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#404 (c1)</w:t>
      </w:r>
    </w:p>
    <w:p>
      <w:r>
        <w:t xml:space="preserve">Prompt: </w:t>
      </w:r>
    </w:p>
    <w:p>
      <w:r>
        <w:t>--------------------</w:t>
      </w:r>
    </w:p>
    <w:p>
      <w:r>
        <w:t>The debate surrounding the role of natural talent versus hard work in achieving success is a persistent discussion. In my opinion, I strongly agree with agreeing with the statement. This essay will provide two reasons supporting my idea.</w:t>
        <w:br/>
        <w:br/>
        <w:t>Natural talent provides individuals with inherent advantages that can significantly accelerate their progress. In other words, some people are simply born with aptitudes that make certain skills easier to acquire. For instance, a child showing exceptional musical ability might grasp complex instruments much faster than their peers. As a result, these individuals often achieve recognition and mastery at a remarkably early age. Hence, it becomes evident that innate gifts provide a substantial head start in various fields.</w:t>
        <w:br/>
        <w:br/>
        <w:t>Furthermore, natural talent can open doors to opportunities that might otherwise remain inaccessible. This is primarily due to the fact that initial success built on natural gifts attracts mentorship and resources. This can be exemplified by the fact that a gifted athlete receives specialized coaching and financial support. The outcome is that their potential is maximized through professional guidance and exposure. This clearly aligns with the view that natural talent acts as a catalyst for professional development.</w:t>
        <w:br/>
        <w:br/>
        <w:t>In conclusion, I strongly agree that natural talent plays a crucial role in success, as it provides initial advantages and opens doors to opportunities. Both inherent gifts and the subsequent professional development they facilitate are vital components of a successful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