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#408 (c1)</w:t>
      </w:r>
    </w:p>
    <w:p>
      <w:r>
        <w:t xml:space="preserve">Prompt: </w:t>
      </w:r>
    </w:p>
    <w:p>
      <w:r>
        <w:t>--------------------</w:t>
      </w:r>
    </w:p>
    <w:p>
      <w:r>
        <w:t>The notion that technology has universally enhanced educational accessibility across the globe is a widely debated topic. In my opinion, I strongly disagree with disagreeing with the statement. This essay will provide two reasons supporting my idea.</w:t>
        <w:br/>
        <w:br/>
        <w:t>A significant challenge remains regarding the pervasive digital divide, which limits true educational parity. In other words, many communities lack the necessary infrastructure to utilize advanced digital learning tools. For instance, rural areas often suffer from unreliable internet connectivity, making consistent online classes impossible. As a result, students in these regions cannot access the same educational resources as their urban counterparts. Hence, it becomes evident that technological advancements exacerbate existing inequalities rather than resolving them.</w:t>
        <w:br/>
        <w:br/>
        <w:t>Furthermore, the quality of digital content and the necessary pedagogical skills are often overlooked in discussions of accessibility. This is primarily due to the fact that merely providing computers does not guarantee effective learning outcomes. This can be exemplified by the fact that many online courses are poorly structured and lack expert human guidance. The outcome is that self-paced learning can become isolating and ineffective without proper mentorship. This clearly aligns with the view that mere connectivity is insufficient for genuine educational improvement.</w:t>
        <w:br/>
        <w:br/>
        <w:t>In conclusion, I strongly disagree with the statement that technology has made education more accessible globally. The persistent digital divide and the critical need for high-quality pedagogical support demonstrate that technology has not achieved true educational parity.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