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#409 (c1)</w:t>
      </w:r>
    </w:p>
    <w:p>
      <w:r>
        <w:t xml:space="preserve">Prompt: </w:t>
      </w:r>
    </w:p>
    <w:p>
      <w:r>
        <w:t>--------------------</w:t>
      </w:r>
    </w:p>
    <w:p>
      <w:r>
        <w:t>The integration of robotics into various industries is fundamentally reshaping the nature of human employment. In my opinion, I strongly agree with agree. This essay will provide two reasons supporting my idea.</w:t>
        <w:br/>
        <w:br/>
        <w:t>Robotics will significantly boost overall productivity across numerous sectors. In other words, automated systems can perform repetitive tasks with remarkable speed and consistency. For instance, in manufacturing facilities, robotic arms assemble components much faster than human workers. As a result, companies can increase their output substantially while maintaining high quality standards. Hence, it becomes evident that human labor will shift towards oversight and complex problem-solving.</w:t>
        <w:br/>
        <w:br/>
        <w:t>Robotics will create new categories of specialized employment opportunities. This is primarily due to the fact that the maintenance and programming of these advanced machines require highly skilled personnel. This can be exemplified by the fact that specialized technicians are needed to repair complex robotic systems in hospitals. The outcome is that educational institutions must adapt their curricula to focus on these technical proficiencies. This clearly aligns with the view that technological advancement generates new job roles.</w:t>
        <w:br/>
        <w:br/>
        <w:t>In conclusion, I strongly agree that robotics will positively influence the future of work. The increased productivity from automation and the creation of specialized employment opportunities confirm this optimistic outlook.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