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#409 (c1)</w:t>
      </w:r>
    </w:p>
    <w:p>
      <w:r>
        <w:t xml:space="preserve">Prompt: </w:t>
      </w:r>
    </w:p>
    <w:p>
      <w:r>
        <w:t>--------------------</w:t>
      </w:r>
    </w:p>
    <w:p>
      <w:r>
        <w:t>The integration of robotics into various industries raises significant questions regarding the nature of human employment. In my opinion, I strongly disagree with disagree. This essay will provide two reasons supporting my idea.</w:t>
        <w:br/>
        <w:br/>
        <w:t>Automation will not eliminate human roles entirely; rather, it will fundamentally alter the required skill sets. In other words, robots are designed to handle repetitive and physically demanding tasks, leaving cognitive and creative work for people. For instance, in manufacturing facilities, automated arms perform welding and assembly line duties with high precision. As a result, human workers will need to transition into roles focused on supervision, maintenance, and complex problem-solving. Hence, it becomes evident that the focus must shift toward upskilling the labor force.</w:t>
        <w:br/>
        <w:br/>
        <w:t>The current economic structure is not equipped to manage such widespread technological disruption. This is primarily due to the fact that existing educational systems often fail to teach adaptability or critical thinking skills. This can be exemplified by the fact that many workers trained for manual labor lack the foundational knowledge for tech-related jobs. The outcome is that a significant portion of the workforce risks becoming obsolete, leading to increased social inequality. This clearly aligns with the view that proactive governmental intervention is necessary.</w:t>
        <w:br/>
        <w:br/>
        <w:t>In conclusion, I strongly disagree with disagree. This is clear from automation and current.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