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 (b2)</w:t>
      </w:r>
    </w:p>
    <w:p>
      <w:r>
        <w:t xml:space="preserve">Prompt: </w:t>
      </w:r>
    </w:p>
    <w:p>
      <w:r>
        <w:t>--------------------</w:t>
      </w:r>
    </w:p>
    <w:p>
      <w:r>
        <w:t>Many people feel that their work life takes up too much of their personal time. In my opinion, I strongly agree with the view that the shortage of personal time caused by work can be solved through flexible work arrangements. This essay will provide two reasons supporting my idea.</w:t>
        <w:br/>
        <w:br/>
        <w:t>The major reason is that traditional office hours often force people to work long hours. In other words, employees feel pressure to be available outside of normal working times. For instance, many people check work emails late at night, even on weekends. As a result, this constant connection makes it hard for people to truly rest and recharge. Hence, it becomes evident that rigid schedules take away from personal life.</w:t>
        <w:br/>
        <w:br/>
        <w:t>One effective solution is implementing flexible work arrangements for employees. This is primarily due to the fact that giving people control over their schedule improves work-life balance. This can be exemplified by the fact that a parent can work from home to pick up their child from school. The outcome is that employees feel more trusted and manage their personal duties better. This clearly aligns with the view that flexible work arrangements are helpful.</w:t>
        <w:br/>
        <w:br/>
        <w:t>In conclusion, I strongly agree that flexible work arrangements can solve the issue of lost personal time. Addressing the major reason of rigid schedules and adopting flexible work arrangements are key steps for better work-life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