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#410 (c1)</w:t>
      </w:r>
    </w:p>
    <w:p>
      <w:r>
        <w:t xml:space="preserve">Prompt: </w:t>
      </w:r>
    </w:p>
    <w:p>
      <w:r>
        <w:t>--------------------</w:t>
      </w:r>
    </w:p>
    <w:p>
      <w:r>
        <w:t>The debate concerning whether traditional printed books or electronic formats offer superior learning experiences remains a popular discussion. In my opinion, I strongly agree with agree. This essay will provide two reasons supporting my idea.</w:t>
        <w:br/>
        <w:br/>
        <w:t>Traditional books offer distinct advantages for deep learning and cognitive development. In other words, the physical act of reading from paper engages different parts of the brain compared to a screen. For instance, studies show that readers often remember information better when they can physically recall the location of the text on a page. As a result, the spatial memory associated with print helps solidify knowledge retention. Hence, it becomes evident that the tactile nature of books enhances the learning process.</w:t>
        <w:br/>
        <w:br/>
        <w:t>Furthermore, traditional books promote sustained focus and minimize digital distractions. This is primarily due to the fact that printed materials are designed for uninterrupted, linear reading. This can be exemplified by the fact that a physical book does not feature notifications or hyperlinks that pull the reader's attention away. The outcome is that the reader can maintain a deep level of concentration, which is crucial for complex subjects. This clearly aligns with the view that print media supports superior concentration.</w:t>
        <w:br/>
        <w:br/>
        <w:t>In conclusion, I strongly agree with agree. This is clear from traditional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