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#411 (c1)</w:t>
      </w:r>
    </w:p>
    <w:p>
      <w:r>
        <w:t xml:space="preserve">Prompt: </w:t>
      </w:r>
    </w:p>
    <w:p>
      <w:r>
        <w:t>--------------------</w:t>
      </w:r>
    </w:p>
    <w:p>
      <w:r>
        <w:t>The discussion surrounding the necessity of acquiring a second language is a widely debated topic. In my opinion, I strongly disagree with disagreeing with the statement. This essay will provide two reasons supporting my idea.</w:t>
        <w:br/>
        <w:br/>
        <w:t>Focusing solely on linguistic ability overlooks the immense value of cultural understanding. In other words, true global competence stems from appreciating diverse traditions, not just mastering vocabulary. For instance, studying a language like Japanese provides deep insight into the country's historical customs and social etiquette. As a result, individuals develop a profound appreciation for the cultural nuances that shape a society. Hence, it becomes evident that cultural exposure offers a more substantial benefit than mere linguistic proficiency.</w:t>
        <w:br/>
        <w:br/>
        <w:t>Furthermore, the emphasis on language acquisition often distracts from the importance of general critical thinking skills. This is primarily due to the fact that academic curricula should prioritize universal problem-solving techniques. This can be exemplified by the fact that advanced logical reasoning can be taught through subjects like philosophy or mathematics. The outcome is that students gain transferable skills applicable across various professional fields. This clearly aligns with the view that general intellectual development is more crucial than specialized language skills.</w:t>
        <w:br/>
        <w:br/>
        <w:t>In conclusion, I strongly disagree with the notion that learning a second language is paramount. While cultural understanding is valuable, general intellectual development provides a more foundational and comprehensive advantage for personal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