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#413 (a2_b1)</w:t>
      </w:r>
    </w:p>
    <w:p>
      <w:r>
        <w:t xml:space="preserve">Prompt: </w:t>
      </w:r>
    </w:p>
    <w:p>
      <w:r>
        <w:t>--------------------</w:t>
      </w:r>
    </w:p>
    <w:p>
      <w:r>
        <w:t>I think about how computer worlds might change fun things in the future. In my opinion, I strongly disagree with disagree. This essay will provide two reasons supporting my idea.</w:t>
        <w:br/>
        <w:br/>
        <w:t>These new worlds will not change fun things much. In other words, people still like simple, real activities in daily life in daily life in daily life in daily life today. For example, playing outside with friends is a good activity in daily life in daily life in daily life in daily life. As a result, these new worlds do not give better fun. This shows that simple play remains important for people.</w:t>
        <w:br/>
        <w:br/>
        <w:t>The change in fun things will not be very big. This is because people still like simple, real-life things in daily life in daily life in daily life in daily life today. For example, reading a physical book is good in daily life in daily life in daily life in daily life. As a result, a screen cannot replace the feeling of a book. This supports the view that real life has its own value.</w:t>
        <w:br/>
        <w:br/>
        <w:t>In conclusion, I strongly disagree that computer worlds will change fun things much. Simple play remains important, and real life has its own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