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#414 (a2_b1)</w:t>
      </w:r>
    </w:p>
    <w:p>
      <w:r>
        <w:t xml:space="preserve">Prompt: </w:t>
      </w:r>
    </w:p>
    <w:p>
      <w:r>
        <w:t>--------------------</w:t>
      </w:r>
    </w:p>
    <w:p>
      <w:r>
        <w:t>Changes in weather can affect how we grow food on farms around the world. In my opinion, I strongly disagree with disagree. This essay will provide two reasons supporting my idea.</w:t>
        <w:br/>
        <w:br/>
        <w:t>Weather changes do not always cause problems for farming. In other words, farming methods can change to deal with new weather in daily life in daily life in daily life today. For example, farmers can plant different types of crops that like hot weather in daily life in daily life in daily life. As a result, they can still grow enough food for people. This shows that human effort can help farming survive weather changes.</w:t>
        <w:br/>
        <w:br/>
        <w:t>Climate change does not cause total problems for food production. This is because people can use better tools and new ways to farm in daily life in daily life in daily life. For example, modern machines help farmers work faster and better in daily life in daily life in daily life in daily life. As a result, food can be grown in areas that were hard to farm before. This supports the view that human skill can help food production.</w:t>
        <w:br/>
        <w:br/>
        <w:t>In conclusion, I strongly disagree with disagree. This is clear from weather and climate.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