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#414 (b2)</w:t>
      </w:r>
    </w:p>
    <w:p>
      <w:r>
        <w:t xml:space="preserve">Prompt: </w:t>
      </w:r>
    </w:p>
    <w:p>
      <w:r>
        <w:t>--------------------</w:t>
      </w:r>
    </w:p>
    <w:p>
      <w:r>
        <w:t>The relationship between changing global weather patterns and the world's farming practices is a major topic of discussion. In my opinion, I strongly disagree with disagree. This essay will provide two reasons supporting my idea.</w:t>
        <w:br/>
        <w:br/>
        <w:t>Climate change does not negatively affect agriculture as much as people think. In other words, farming methods can change to deal with new conditions in everyday life. For instance, farmers can use drought-resistant seeds that need less water. As a result, crops can still grow even when there is little rain. Hence, it becomes evident that human effort can help farming adapt to changes.</w:t>
        <w:br/>
        <w:br/>
        <w:t>Sustainable farming practices can help protect crops from climate change. This is primarily due to the fact that better land management improves soil health. This can be exemplified by the fact that planting cover crops keeps the soil covered and rich. The outcome is that the land stays healthy and can support food production for longer periods. This clearly aligns with the view that human actions can support farming's resilience.</w:t>
        <w:br/>
        <w:br/>
        <w:t>In conclusion, I strongly disagree with the idea that climate change harms farming. Farming methods can change to deal with new conditions, and sustainable farming practices can help protect crops from climate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