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#414 (c1)</w:t>
      </w:r>
    </w:p>
    <w:p>
      <w:r>
        <w:t xml:space="preserve">Prompt: </w:t>
      </w:r>
    </w:p>
    <w:p>
      <w:r>
        <w:t>--------------------</w:t>
      </w:r>
    </w:p>
    <w:p>
      <w:r>
        <w:t>Climate change poses significant challenges to the stability and productivity of global agricultural systems. In my opinion, I strongly agree with agree. This essay will provide two reasons supporting my idea.</w:t>
        <w:br/>
        <w:br/>
        <w:t>One major impact of climate change is the disruption of predictable weather patterns, which severely threatens crop yields. In other words, erratic weather, such as intense rainfall or prolonged dry spells, makes farming highly unpredictable. For instance, regions experiencing increased drought frequency struggle to maintain adequate water levels for irrigation. As a result, many staple crops face significant stress, leading to reduced harvests across continents. Hence, it becomes evident that agricultural sustainability is severely jeopardized by climate variability.</w:t>
        <w:br/>
        <w:br/>
        <w:t>Another critical consequence is the geographical shift of suitable farming zones, affecting food security worldwide. This is primarily due to the fact that rising global temperatures force agricultural species to migrate toward cooler latitudes. This can be exemplified by the fact that traditional farming areas may become too hot or too saline for cultivation. The outcome is that nations must invest heavily in adaptation strategies, such as developing salt-resistant crops. This clearly aligns with the view that global food security requires immediate and substantial policy intervention.</w:t>
        <w:br/>
        <w:br/>
        <w:t>In conclusion, I strongly agree with agree. This is clear from major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