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#414 (c1)</w:t>
      </w:r>
    </w:p>
    <w:p>
      <w:r>
        <w:t xml:space="preserve">Prompt: </w:t>
      </w:r>
    </w:p>
    <w:p>
      <w:r>
        <w:t>--------------------</w:t>
      </w:r>
    </w:p>
    <w:p>
      <w:r>
        <w:t>The relationship between changing global climate patterns and the productivity of agricultural systems is a subject of considerable debate. In my opinion, I strongly disagree with disagree. This essay will provide two reasons supporting my idea.</w:t>
        <w:br/>
        <w:br/>
        <w:t>Climate change does not necessarily undermine global food security for all regions. In other words, human ingenuity and technological advancements can mitigate many of the negative effects in everyday life. For instance, advanced irrigation techniques, such as drip systems, allow farmers to conserve water efficiently. As a result, agricultural yields can be maintained even when facing periods of drought. Hence, it becomes evident that human adaptation strategies are highly effective in sustaining farming practices.</w:t>
        <w:br/>
        <w:br/>
        <w:t>Furthermore, the agricultural sector possesses significant inherent resilience against climatic variability. This is primarily due to the fact that diverse farming methods and crop rotation practices enhance soil health. This can be exemplified by the fact that incorporating cover crops naturally improves soil structure and water retention. The outcome is that farms become less susceptible to extreme weather events and maintain productivity. This clearly aligns with the view that sustainable practices bolster the long-term viability of farming.</w:t>
        <w:br/>
        <w:br/>
        <w:t>In conclusion, I strongly disagree with disagree. This is clear from climate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