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#415 (c1)</w:t>
      </w:r>
    </w:p>
    <w:p>
      <w:r>
        <w:t xml:space="preserve">Prompt: </w:t>
      </w:r>
    </w:p>
    <w:p>
      <w:r>
        <w:t>--------------------</w:t>
      </w:r>
    </w:p>
    <w:p>
      <w:r>
        <w:t>The allocation of governmental funds towards space exploration represents a subject of considerable public debate. In my opinion, I strongly disagree with disagreeing with the statement. This essay will provide two reasons supporting my idea.</w:t>
        <w:br/>
        <w:br/>
        <w:t>Government spending on space initiatives should be redirected towards addressing immediate domestic needs. In other words, these substantial funds could significantly improve essential public services such as healthcare and education. For instance, investing in local infrastructure, like upgrading rural hospitals, would yield immediate, tangible benefits for citizens. As a result, the populace would experience a marked improvement in their overall quality of life and well-being. Hence, it becomes evident that such domestic priorities warrant greater governmental attention and financial commitment.</w:t>
        <w:br/>
        <w:br/>
        <w:t>Focusing on terrestrial issues provides a more direct and measurable return on public investment. This is primarily due to the fact that immediate societal problems require immediate, large-scale financial intervention. This can be exemplified by the fact that improving local water sanitation systems prevents widespread public health crises. The outcome is that communities become more resilient and productive, thereby boosting local economies. This clearly aligns with the view that governmental resources are best utilized when tackling pressing, local challenges.</w:t>
        <w:br/>
        <w:br/>
        <w:t>In conclusion, I strongly disagree with the notion that space exploration is a good investment for governments. Governments should prioritize redirecting funds from space initiatives to address immediate domestic needs and focus on improving local water sanitation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