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#416 (a2_b1)</w:t>
      </w:r>
    </w:p>
    <w:p>
      <w:r>
        <w:t xml:space="preserve">Prompt: </w:t>
      </w:r>
    </w:p>
    <w:p>
      <w:r>
        <w:t>--------------------</w:t>
      </w:r>
    </w:p>
    <w:p>
      <w:r>
        <w:t>Some people think that electric cars will take the place of all cars that use fuel. In my opinion, I strongly disagree with disagreeing with the statement. This essay will provide two reasons supporting my idea.</w:t>
        <w:br/>
        <w:br/>
        <w:t>One clear advantage is that fuel-powered cars are still very useful for long trips. In other words, electric cars have limited range, which makes long journeys difficult. For example, a family traveling to another state might need a car with a big fuel container. As a result, they cannot depend only on electric power for their whole trip. This shows that gas cars remain important for long-distance travel.</w:t>
        <w:br/>
        <w:br/>
        <w:t>Another reason is that the cost of building and fixing cars is a big factor. This is because traditional cars have many parts that people already know how to fix. For example, many mechanics already work with gas engines and know how to repair them well. As a result, people can find many local shops that fix these cars easily. This supports the view that gas cars will stay popular for many years.</w:t>
        <w:br/>
        <w:br/>
        <w:t>In conclusion, I strongly disagree with the statement. Fuel-powered cars are still needed for long trips, and the cost of building and fixing cars is a big factor.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