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#416 (b2)</w:t>
      </w:r>
    </w:p>
    <w:p>
      <w:r>
        <w:t xml:space="preserve">Prompt: </w:t>
      </w:r>
    </w:p>
    <w:p>
      <w:r>
        <w:t>--------------------</w:t>
      </w:r>
    </w:p>
    <w:p>
      <w:r>
        <w:t>Some people think that electric vehicles will completely take the place of cars that use fuel. In my opinion, I strongly disagree with disagreeing with the statement. This essay will provide two reasons supporting my idea.</w:t>
        <w:br/>
        <w:br/>
        <w:t>The current infrastructure for electric cars is not ready for a total change. In other words, many areas still lack the necessary charging stations for long journeys. For instance, rural areas often have few charging points, making long-distance travel difficult. As a result, people who live far from cities might find electric cars inconvenient for their daily use. Hence, it becomes evident that fuel-powered cars will remain important for many types of travel.</w:t>
        <w:br/>
        <w:br/>
        <w:t>Electric vehicles cannot handle all types of transportation needs. This is primarily due to the fact that heavy vehicles, like buses and trucks, require different power sources. This can be exemplified by the fact that large construction sites often use diesel engines because of their power needs. The outcome is that specialized, powerful engines are still needed for commercial transport. This clearly aligns with the view that fuel-powered vehicles will continue to be used in certain sectors.</w:t>
        <w:br/>
        <w:br/>
        <w:t>In conclusion, I strongly disagree that electric vehicles will completely replace fuel-powered cars. The lack of charging infrastructure and the specialized needs of heavy vehicles mean that both types of cars will continue to be important for transportation.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