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#416 (c1)</w:t>
      </w:r>
    </w:p>
    <w:p>
      <w:r>
        <w:t xml:space="preserve">Prompt: </w:t>
      </w:r>
    </w:p>
    <w:p>
      <w:r>
        <w:t>--------------------</w:t>
      </w:r>
    </w:p>
    <w:p>
      <w:r>
        <w:t>The question of whether electric vehicles will entirely supersede traditional fuel-powered automobiles is a subject of considerable debate. In my opinion, I strongly disagree with disagreeing with the statement. This essay will provide two reasons supporting my idea.</w:t>
        <w:br/>
        <w:br/>
        <w:t>Electric vehicles, while promising, will not completely replace conventional cars due to infrastructural limitations. In other words, the current charging network lacks the necessary density for widespread adoption. For instance, many rural areas lack the charging stations required for long-distance travel. As a result, drivers will remain dependent on existing gas stations for convenience and reliability. Hence, it becomes evident that the established fueling infrastructure will persist for the foreseeable future.</w:t>
        <w:br/>
        <w:br/>
        <w:t>Furthermore, the operational constraints of electric vehicles mean that internal combustion engines will retain significant utility. This is primarily due to the fact that current battery technology limits the range and payload capacity of electric cars. This can be exemplified by the fact that heavy-duty transport, such as construction vehicles, still require diesel power. The outcome is that specialized, high-power applications will continue to rely on established fuel sources. This clearly aligns with the view that hybridization and diverse power sources will remain necessary.</w:t>
        <w:br/>
        <w:br/>
        <w:t>In conclusion, I strongly disagree that electric vehicles will completely replace fuel-powered cars. The infrastructural limitations and the continued utility of internal combustion engines mean that both established fueling infrastructure and diverse power sources will remain vital components of the transportation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