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#418 (c1)</w:t>
      </w:r>
    </w:p>
    <w:p>
      <w:r>
        <w:t xml:space="preserve">Prompt: </w:t>
      </w:r>
    </w:p>
    <w:p>
      <w:r>
        <w:t>--------------------</w:t>
      </w:r>
    </w:p>
    <w:p>
      <w:r>
        <w:t>The discussion surrounding whether higher education is essential for professional success is a persistent topic of debate. In my opinion, I strongly disagree with disagreeing with the statement. This essay will provide two reasons supporting my idea.</w:t>
        <w:br/>
        <w:br/>
        <w:t>Alternative pathways offer substantial avenues for achieving professional fulfillment. In other words, practical experience and self-directed learning can provide sufficient preparation for a successful career. For instance, many successful entrepreneurs gained valuable skills through apprenticeships rather than formal academic study. As a result, their real-world expertise often surpasses the theoretical knowledge gained in a classroom setting. Hence, it becomes evident that hands-on involvement is a powerful determinant of employability.</w:t>
        <w:br/>
        <w:br/>
        <w:t>Furthermore, specialized skills acquired outside of traditional academic settings are highly valued by employers. This is primarily due to the fact that the modern job market increasingly demands niche expertise and adaptability. This can be exemplified by the fact that many tech companies hire individuals based on demonstrable project portfolios, regardless of their academic credentials. The outcome is that individuals who build a diverse skill set are better positioned to meet evolving industry requirements. This clearly aligns with the view that practical application outweighs formal academic qualifications.</w:t>
        <w:br/>
        <w:br/>
        <w:t>In conclusion, I strongly disagree with the notion that college education is mandatory for success. Instead, the combination of practical experience and specialized skills provides robust pathways to a fulfilling career.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