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#41 (a2_b1)</w:t>
      </w:r>
    </w:p>
    <w:p>
      <w:r>
        <w:t xml:space="preserve">Prompt: </w:t>
      </w:r>
    </w:p>
    <w:p>
      <w:r>
        <w:t>--------------------</w:t>
      </w:r>
    </w:p>
    <w:p>
      <w:r>
        <w:t>Online materials, such as music and films, are easy to get and use without paying money. In my opinion, I strongly disagree with the view that online materials should be accessed at no cost. This essay will provide two reasons supporting my idea.</w:t>
        <w:br/>
        <w:br/>
        <w:t>Content creators need money to make their work. In other words, making good films and songs costs time and money in daily life. For example, a film needs actors, cameras, and editors. As a result, the people who make this content need to earn money. This shows that charging for materials helps people continue making good content.</w:t>
        <w:br/>
        <w:br/>
        <w:t>Many people who make content need to earn a living from it. This is because making and sharing content takes a lot of effort in daily life. For example, a musician spends many hours writing and recording songs. As a result, they need to sell their music to pay for their life. This supports the view that charging for materials helps artists and creators.</w:t>
        <w:br/>
        <w:br/>
        <w:t>In conclusion, I strongly disagree with the view that online materials should be accessed at no cost. Content creators need money to make their work, and artists and creators need to earn a living from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