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 (b2)</w:t>
      </w:r>
    </w:p>
    <w:p>
      <w:r>
        <w:t xml:space="preserve">Prompt: </w:t>
      </w:r>
    </w:p>
    <w:p>
      <w:r>
        <w:t>--------------------</w:t>
      </w:r>
    </w:p>
    <w:p>
      <w:r>
        <w:t>Online materials, such as music and movies, are available to people without needing to pay money. In my opinion, I strongly agree with the view that online materials should be accessed at no cost. This essay will provide two reasons supporting my idea.</w:t>
        <w:br/>
        <w:br/>
        <w:t>One clear advantage is that free access helps people learn new things. In other words, people can get educational resources without spending money. For instance, students can watch many university lectures online for free. As a result, people from poor areas can still get a good education. Hence, it becomes evident that free access helps reduce the learning gap.</w:t>
        <w:br/>
        <w:br/>
        <w:t>Another reason is that free content helps people enjoy a wider range of entertainment. This is primarily due to the fact that many people cannot afford expensive subscriptions. This can be exemplified by the fact that people can listen to many songs and watch many films online. The outcome is that people can enjoy entertainment from all over the world. This clearly aligns with the view that online materials should be accessed at no cost.</w:t>
        <w:br/>
        <w:br/>
        <w:t>In conclusion, I strongly agree with the view that online materials should be accessed at no cost. This is because free access helps reduce the learning gap by providing educational resources and also allows people to enjoy a wider range of entertainment without expensive subscriptions.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