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 (b2)</w:t>
      </w:r>
    </w:p>
    <w:p>
      <w:r>
        <w:t xml:space="preserve">Prompt: </w:t>
      </w:r>
    </w:p>
    <w:p>
      <w:r>
        <w:t>--------------------</w:t>
      </w:r>
    </w:p>
    <w:p>
      <w:r>
        <w:t>Online materials, such as music and movies, are often available to people at no cost. In my opinion, I strongly disagree with the view that online materials should be accessed at no cost. This essay will provide two reasons supporting my idea.</w:t>
        <w:br/>
        <w:br/>
        <w:t>These materials are created by people who spend much time and money on them. In other words, creating high-quality content requires significant effort and resources. For instance, a professional movie needs actors, directors, and special equipment. As a result, the creators need to receive payment for their hard work. Hence, it becomes evident that some cost is necessary to support the creation of good content.</w:t>
        <w:br/>
        <w:br/>
        <w:t>Furthermore, creators need financial support to keep making new things. This is primarily due to the fact that making content is a business that needs funding. This can be exemplified by the fact that many artists rely on ticket sales or subscriptions. The outcome is that if there is no income, artists will stop making their work. This clearly aligns with the view that a payment system is needed for creators to continue working.</w:t>
        <w:br/>
        <w:br/>
        <w:t>In conclusion, I strongly disagree with the view that online materials should be accessed at no cost. This is because the creation of quality content requires significant resources and effort, and creators need financial support to sustain their ongoing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