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#420 (c1)</w:t>
      </w:r>
    </w:p>
    <w:p>
      <w:r>
        <w:t xml:space="preserve">Prompt: </w:t>
      </w:r>
    </w:p>
    <w:p>
      <w:r>
        <w:t>--------------------</w:t>
      </w:r>
    </w:p>
    <w:p>
      <w:r>
        <w:t>The comparison between urban and rural living presents a complex discussion regarding the optimal quality of life. In my opinion, I strongly agree with agreeing with the statement. This essay will provide two reasons supporting my idea.</w:t>
        <w:br/>
        <w:br/>
        <w:t>Urban environments offer superior access to essential amenities and job opportunities. In other words, city dwellers benefit from a concentration of services and cultural attractions. For instance, a person needing specialized medical care can visit a major hospital within minutes. As a result, the quality of healthcare available to residents is significantly enhanced. Hence, it becomes evident that the convenience of city life greatly improves overall well-being.</w:t>
        <w:br/>
        <w:br/>
        <w:t>Furthermore, city life provides superior educational and professional development prospects. This is primarily due to the fact that major educational institutions and corporate headquarters are situated in metropolitan areas. This can be exemplified by the fact that top universities and multinational companies cluster together. The outcome is that young professionals have abundant networking chances and career advancement pathways. This clearly aligns with the view that urban settings are better for personal and professional growth.</w:t>
        <w:br/>
        <w:br/>
        <w:t>In conclusion, I strongly agree that urban living is superior to rural living. The enhanced amenities and job opportunities found in cities, alongside the superior educational and professional development prospects, solidify this 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