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#421 (c1)</w:t>
      </w:r>
    </w:p>
    <w:p>
      <w:r>
        <w:t xml:space="preserve">Prompt: </w:t>
      </w:r>
    </w:p>
    <w:p>
      <w:r>
        <w:t>--------------------</w:t>
      </w:r>
    </w:p>
    <w:p>
      <w:r>
        <w:t>Globalization, the increasing interconnectedness of the world, inevitably affects the unique character of local cultures. In my opinion, I strongly agree with agree. This essay will provide two reasons supporting my idea.</w:t>
        <w:br/>
        <w:br/>
        <w:t>One clear advantage is that globalization facilitates cultural exchange, introducing local communities to diverse traditions. In other words, the movement of people and goods promotes a wider understanding of different ways of life. For instance, local festivals now incorporate elements from international music and cuisine. As a result, these communities gain new artistic outlets and methods for celebration. Hence, it becomes evident that cultural exchange enriches local traditions, preventing stagnation.</w:t>
        <w:br/>
        <w:br/>
        <w:t>Another reason is that global markets provide economic opportunities, which helps local cultures maintain their relevance. This is primarily due to the fact that local crafts and unique products can reach a worldwide consumer base. This can be exemplified by the fact that artisanal weavers now sell their textiles through international e-commerce platforms. The outcome is that the economic viability of traditional skills is significantly enhanced for the community. This clearly aligns with the view that global economic ties support the continuation of local practices.</w:t>
        <w:br/>
        <w:br/>
        <w:t>In conclusion, I strongly agree with agree. This is clear from clear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