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#421 (c1)</w:t>
      </w:r>
    </w:p>
    <w:p>
      <w:r>
        <w:t xml:space="preserve">Prompt: </w:t>
      </w:r>
    </w:p>
    <w:p>
      <w:r>
        <w:t>--------------------</w:t>
      </w:r>
    </w:p>
    <w:p>
      <w:r>
        <w:t>The relationship between global interconnectedness and the maintenance of unique local traditions is a subject of considerable debate. In my opinion, I strongly disagree with disagree. This essay will provide two reasons supporting my idea.</w:t>
        <w:br/>
        <w:br/>
        <w:t>Globalization does not inevitably diminish the distinctiveness of local cultures. In other words, global interaction often provides new avenues for cultural expression and revitalization in everyday life. For instance, local artisans now use international e-commerce platforms to sell traditional crafts to a worldwide audience. As a result, these communities gain economic stability, which encourages them to preserve their unique techniques. Hence, it becomes evident that global markets can actually bolster local cultural practices.</w:t>
        <w:br/>
        <w:br/>
        <w:t>Furthermore, globalization facilitates valuable cultural exchange rather than mere homogenization. This is primarily due to the fact that increased travel and communication expose people to diverse viewpoints in everyday life. This can be exemplified by the fact that international festivals now incorporate indigenous music and dance forms alongside mainstream acts. The outcome is that local communities become more confident in sharing their heritage, thereby strengthening their cultural identity. This clearly aligns with the view that global exposure enriches local traditions.</w:t>
        <w:br/>
        <w:br/>
        <w:t>In conclusion, I strongly disagree with disagree. This is clear from globalization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