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#423 (b2)</w:t>
      </w:r>
    </w:p>
    <w:p>
      <w:r>
        <w:t xml:space="preserve">Prompt: </w:t>
      </w:r>
    </w:p>
    <w:p>
      <w:r>
        <w:t>--------------------</w:t>
      </w:r>
    </w:p>
    <w:p>
      <w:r>
        <w:t>The question of whether we must keep endangered languages alive is a topic of much discussion. In my opinion, I strongly disagree with disagreeing with the statement. This essay will provide two reasons supporting my idea.</w:t>
        <w:br/>
        <w:br/>
        <w:t>The focus on preserving every language can take away from more important needs. In other words, resources spent on rare languages could help other areas. For instance, a small community might need money for better schools, and this money could be used for language programs. As a result, focusing on one language might mean less support for many other basic services. Hence, it becomes evident that practical needs should guide our spending.</w:t>
        <w:br/>
        <w:br/>
        <w:t>Furthermore, language preservation efforts are often too costly for the general public. This is primarily due to the fact that teaching and maintaining rare languages requires many trained people. This can be exemplified by the fact that a single language program needs teachers, materials, and regular events. The outcome is that these high costs might only benefit a few wealthy groups, not the whole community. This clearly aligns with the view that funding should go to wider public services.</w:t>
        <w:br/>
        <w:br/>
        <w:t>In conclusion, I strongly disagree with the idea that preserving every endangered language is necessary. We should focus on practical needs, and we must also consider the high costs of language preservation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