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#424 (b2)</w:t>
      </w:r>
    </w:p>
    <w:p>
      <w:r>
        <w:t xml:space="preserve">Prompt: </w:t>
      </w:r>
    </w:p>
    <w:p>
      <w:r>
        <w:t>--------------------</w:t>
      </w:r>
    </w:p>
    <w:p>
      <w:r>
        <w:t>Some people argue that physical books will eventually become outdated because of digital technology. In my opinion, I strongly disagree with disagree. This essay will provide two reasons supporting my idea.</w:t>
        <w:br/>
        <w:br/>
        <w:t>Physical books offer a unique reading experience that digital devices cannot match. In other words, many people enjoy the feel and smell of paper books. For instance, reading a book allows the reader to feel the weight of the object in their hands. As a result, this physical connection helps people focus better while they read. Hence, it becomes evident that the tactile nature of books is important for many readers.</w:t>
        <w:br/>
        <w:br/>
        <w:t>Physical books also maintain a sense of cultural connection and history. This is primarily due to the fact that libraries and bookstores are important community places. This can be exemplified by the fact that local bookshops host reading groups and community events. The outcome is that these shops keep local culture alive and support local jobs. This clearly aligns with the view that physical books are more than just reading material.</w:t>
        <w:br/>
        <w:br/>
        <w:t>In conclusion, I strongly disagree that physical books will become obsolete. The unique reading experience and the cultural connection provided by physical books show that they will remain important sources of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