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#424 (c1)</w:t>
      </w:r>
    </w:p>
    <w:p>
      <w:r>
        <w:t xml:space="preserve">Prompt: </w:t>
      </w:r>
    </w:p>
    <w:p>
      <w:r>
        <w:t>--------------------</w:t>
      </w:r>
    </w:p>
    <w:p>
      <w:r>
        <w:t>The question of whether physical books will eventually become obsolete due to digital advancements is a widely debated topic. In my opinion, I strongly disagree with disagree. This essay will provide two reasons supporting my idea.</w:t>
        <w:br/>
        <w:br/>
        <w:t>Physical books retain significant cultural and aesthetic value. In other words, the tangible nature of a printed book offers a unique reading experience. For instance, the smell of aged paper and the weight of the volume enhance the immersion for many readers. As a result, libraries and collectors continue to value the physical format for its historical integrity. Hence, it becomes evident that the print medium possesses enduring appeal beyond mere content delivery.</w:t>
        <w:br/>
        <w:br/>
        <w:t>Physical books also offer advantages regarding accessibility and ownership. This is primarily due to the fact that owning a physical book provides a sense of permanence and personal connection. This can be exemplified by the fact that many people prefer to keep cherished literary works in their personal collections. The outcome is that these physical items serve as tangible heirlooms, passing down cultural knowledge across generations. This clearly aligns with the view that the physical format maintains deep sentimental and archival value.</w:t>
        <w:br/>
        <w:br/>
        <w:t>In conclusion, I strongly disagree that physical books will become obsolete. The enduring cultural appeal of the print medium, coupled with the sentimental and archival value of physical books, ensures their continued relevance in modern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