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#425 (a2_b1)</w:t>
      </w:r>
    </w:p>
    <w:p>
      <w:r>
        <w:t xml:space="preserve">Prompt: </w:t>
      </w:r>
    </w:p>
    <w:p>
      <w:r>
        <w:t>--------------------</w:t>
      </w:r>
    </w:p>
    <w:p>
      <w:r>
        <w:t>Countries should spend money to build fast train systems for people to travel. In my opinion, I strongly agree with agreeing with the statement. This essay will provide two reasons supporting my idea.</w:t>
        <w:br/>
        <w:br/>
        <w:t>Building fast train systems helps people move goods and people quickly. In other words, these trains make travel much faster than old roads in daily life for many people. For example, a train line can take people from one city to another in just a few hours in daily life. As a result, businesses can move things to many places faster in daily life. This shows that fast trains help the economy grow.</w:t>
        <w:br/>
        <w:br/>
        <w:t>Investing in these systems improves the quality of life for citizens. This is because good transport links give people better job chances in daily life. For example, people can move to a city where they find a better job in daily life. As a result, families can live in better places and have more money in daily life. This supports the view that new trains improve people's lives.</w:t>
        <w:br/>
        <w:br/>
        <w:t>In conclusion, I strongly agree that countries should spend money on fast train systems. These systems help the economy grow, and they also improve people's lives.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