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#425 (a2_b1)</w:t>
      </w:r>
    </w:p>
    <w:p>
      <w:r>
        <w:t xml:space="preserve">Prompt: </w:t>
      </w:r>
    </w:p>
    <w:p>
      <w:r>
        <w:t>--------------------</w:t>
      </w:r>
    </w:p>
    <w:p>
      <w:r>
        <w:t>People should think about whether countries need to spend a lot of money on fast train systems. In my opinion, I strongly disagree with disagreeing with the statement. This essay will provide two reasons supporting my idea.</w:t>
        <w:br/>
        <w:br/>
        <w:t>Countries should spend money on other types of transport instead. In other words, money is better spent on improving local roads and buses in daily life. For example, many small towns need better bus routes to help people get around in daily life. As a result, people can reach jobs and shops more easily. This shows that local transport is more important for daily life.</w:t>
        <w:br/>
        <w:br/>
        <w:t>Governments should focus on helping people use their own cars. This is because building fast train lines is very expensive for the country in daily life. For example, the cost of building tracks and stations is too high for many nations. As a result, this money could pay for schools or hospitals instead. This supports the view that other public services need the money more.</w:t>
        <w:br/>
        <w:br/>
        <w:t>In conclusion, I strongly disagree with the idea that countries should spend money on fast train systems. It is better to focus on improving local transport and helping people use their own cars.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