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#425 (b2)</w:t>
      </w:r>
    </w:p>
    <w:p>
      <w:r>
        <w:t xml:space="preserve">Prompt: </w:t>
      </w:r>
    </w:p>
    <w:p>
      <w:r>
        <w:t>--------------------</w:t>
      </w:r>
    </w:p>
    <w:p>
      <w:r>
        <w:t>The question of whether countries should spend money on high-speed rail systems is a major topic in modern planning. In my opinion, I strongly agree with agreeing with the statement. This essay will provide two reasons supporting my idea.</w:t>
        <w:br/>
        <w:br/>
        <w:t>Investing in high-speed rail systems helps improve national connectivity and economic growth. In other words, these modern rail lines connect distant cities and towns more easily. For instance, the line connecting Tokyo and Osaka shows how fast travel can boost trade. As a result, businesses can move goods and people quickly, which increases local economies. Hence, it becomes evident that such systems are vital for a strong national economy.</w:t>
        <w:br/>
        <w:br/>
        <w:t>High-speed rail is also a sustainable alternative to using private cars and planes. This is primarily due to the fact that these trains use less fuel and produce fewer harmful emissions. This can be exemplified by the fact that many European cities are reducing car use by promoting rail travel. The outcome is that air and ground pollution levels drop, leading to healthier communities. This clearly aligns with the view that sustainable infrastructure is necessary for the future.</w:t>
        <w:br/>
        <w:br/>
        <w:t>In conclusion, I strongly agree that countries should invest in high-speed rail systems. Such systems are important because they improve national connectivity and also provide a sustainable alternative for modern travel.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