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(b2)</w:t>
      </w:r>
    </w:p>
    <w:p>
      <w:r>
        <w:t xml:space="preserve">Prompt: </w:t>
      </w:r>
    </w:p>
    <w:p>
      <w:r>
        <w:t>--------------------</w:t>
      </w:r>
    </w:p>
    <w:p>
      <w:r>
        <w:t>The question of whether countries should spend large amounts of money on high-speed rail systems is a major topic of discussion. In my opinion, I strongly disagree with disagreeing with the statement. This essay will provide two reasons supporting my idea.</w:t>
        <w:br/>
        <w:br/>
        <w:t>The focus on rail systems takes attention away from other necessary public services. In other words, the huge cost of building these tracks means that money must come from other areas. For instance, local schools or hospitals might not get enough funding for improvements. As a result, essential community services could suffer from lack of resources. Hence, it becomes evident that spending on rail might hurt other important areas of life.</w:t>
        <w:br/>
        <w:br/>
        <w:t>Prioritizing rail over other transport options can create problems for existing local routes. This is primarily due to the fact that new rail lines often ignore older, established community paths. This can be exemplified by the fact that a new line might bypass small towns that need better bus connections. The outcome is that these smaller communities lose their main link to the wider network. This clearly aligns with the view that local transport needs more attention.</w:t>
        <w:br/>
        <w:br/>
        <w:t>In conclusion, I strongly disagree with the idea that countries should invest heavily in high-speed rail systems. The financial burden of building these tracks can hurt other important areas, and prioritizing rail over other transport options harms local routes.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