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#425 (c1)</w:t>
      </w:r>
    </w:p>
    <w:p>
      <w:r>
        <w:t xml:space="preserve">Prompt: </w:t>
      </w:r>
    </w:p>
    <w:p>
      <w:r>
        <w:t>--------------------</w:t>
      </w:r>
    </w:p>
    <w:p>
      <w:r>
        <w:t>The question of whether nations should allocate substantial funds toward developing high-speed rail networks is a subject of considerable global debate. In my opinion, I strongly agree with agreeing with the statement. This essay will provide two reasons supporting my idea.</w:t>
        <w:br/>
        <w:br/>
        <w:t>Investing in high-speed rail systems significantly enhances a country's overall connectivity and economic potential. In other words, these advanced rail lines drastically reduce the time required for intercity travel, making distant locations more accessible. For instance, connecting major metropolitan areas with a high-speed rail link allows businesses to operate across a much wider geographical scope. As a result, regional economies benefit from increased labor mobility and expanded market reach. Hence, it becomes evident that such infrastructure is crucial for fostering balanced regional development.</w:t>
        <w:br/>
        <w:br/>
        <w:t>Furthermore, developing high-speed rail is a sustainable alternative to carbon-intensive modes of transport. This is primarily due to the fact that these modern rail systems are designed to operate with minimal environmental impact compared to air travel. This can be exemplified by the fact that a single high-speed train can transport hundreds of passengers while emitting significantly fewer greenhouse gases per person. The outcome is that nations can effectively mitigate emissions and improve their overall air quality. This clearly aligns with the view that sustainable infrastructure is vital for future global health.</w:t>
        <w:br/>
        <w:br/>
        <w:t>In conclusion, I strongly agree that countries should invest in high-speed rail systems. Such investments are vital because they enhance connectivity and also provide a sustainable alternative to polluting transport.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